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66" w:rsidRDefault="00DC0D8B">
      <w:pPr>
        <w:rPr>
          <w:rFonts w:ascii="Baskerville Old Face" w:hAnsi="Baskerville Old Face"/>
          <w:sz w:val="28"/>
          <w:szCs w:val="28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-361950</wp:posOffset>
            </wp:positionV>
            <wp:extent cx="3276600" cy="971550"/>
            <wp:effectExtent l="19050" t="0" r="0" b="0"/>
            <wp:wrapThrough wrapText="bothSides">
              <wp:wrapPolygon edited="0">
                <wp:start x="-126" y="0"/>
                <wp:lineTo x="-126" y="21176"/>
                <wp:lineTo x="21600" y="21176"/>
                <wp:lineTo x="21600" y="0"/>
                <wp:lineTo x="-126" y="0"/>
              </wp:wrapPolygon>
            </wp:wrapThrough>
            <wp:docPr id="3" name="Picture 1" descr="http://www3.iium.edu.my/pro/images/stories/cim/ful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iium.edu.my/pro/images/stories/cim/full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22C">
        <w:rPr>
          <w:noProof/>
          <w:lang w:val="ms-MY" w:eastAsia="ms-MY"/>
        </w:rPr>
        <w:pict>
          <v:rect id="Rectangle 2" o:spid="_x0000_s1026" style="position:absolute;margin-left:394.5pt;margin-top:-52.5pt;width:132pt;height:3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" stroked="f">
            <v:textbox>
              <w:txbxContent>
                <w:p w:rsidR="002F7713" w:rsidRPr="002F7713" w:rsidRDefault="002F7713" w:rsidP="002F7713">
                  <w:pPr>
                    <w:spacing w:line="240" w:lineRule="auto"/>
                    <w:contextualSpacing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>Version</w:t>
                  </w: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ab/>
                    <w:t>:</w:t>
                  </w:r>
                  <w:r w:rsidR="00B421DB">
                    <w:rPr>
                      <w:rFonts w:ascii="Goudy Old Style" w:hAnsi="Goudy Old Style"/>
                      <w:sz w:val="18"/>
                      <w:szCs w:val="18"/>
                    </w:rPr>
                    <w:t xml:space="preserve"> 01/2016</w:t>
                  </w:r>
                </w:p>
                <w:p w:rsidR="002F7713" w:rsidRPr="002F7713" w:rsidRDefault="002F7713" w:rsidP="002F7713">
                  <w:pPr>
                    <w:spacing w:line="240" w:lineRule="auto"/>
                    <w:contextualSpacing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2F7713">
                    <w:rPr>
                      <w:rFonts w:ascii="Goudy Old Style" w:hAnsi="Goudy Old Style"/>
                      <w:sz w:val="18"/>
                      <w:szCs w:val="18"/>
                    </w:rPr>
                    <w:t>Effective Date:</w:t>
                  </w:r>
                  <w:r>
                    <w:rPr>
                      <w:rFonts w:ascii="Goudy Old Style" w:hAnsi="Goudy Old Style"/>
                      <w:sz w:val="18"/>
                      <w:szCs w:val="18"/>
                    </w:rPr>
                    <w:t xml:space="preserve"> </w:t>
                  </w:r>
                  <w:r w:rsidR="00B14104">
                    <w:rPr>
                      <w:rFonts w:ascii="Goudy Old Style" w:hAnsi="Goudy Old Style"/>
                      <w:sz w:val="18"/>
                      <w:szCs w:val="18"/>
                    </w:rPr>
                    <w:t>January</w:t>
                  </w:r>
                  <w:r w:rsidR="00B421DB">
                    <w:rPr>
                      <w:rFonts w:ascii="Goudy Old Style" w:hAnsi="Goudy Old Style"/>
                      <w:sz w:val="18"/>
                      <w:szCs w:val="18"/>
                    </w:rPr>
                    <w:t xml:space="preserve"> 2016</w:t>
                  </w:r>
                </w:p>
                <w:p w:rsidR="002F7713" w:rsidRDefault="002F7713">
                  <w:r>
                    <w:t xml:space="preserve">  </w:t>
                  </w:r>
                </w:p>
              </w:txbxContent>
            </v:textbox>
          </v:rect>
        </w:pict>
      </w:r>
    </w:p>
    <w:p w:rsidR="00AE74C6" w:rsidRDefault="00AE74C6" w:rsidP="008F273D">
      <w:pPr>
        <w:rPr>
          <w:rFonts w:ascii="Baskerville Old Face" w:hAnsi="Baskerville Old Face"/>
          <w:b/>
          <w:bCs/>
          <w:sz w:val="24"/>
          <w:szCs w:val="24"/>
        </w:rPr>
      </w:pPr>
    </w:p>
    <w:p w:rsidR="006B7566" w:rsidRPr="004C66EC" w:rsidRDefault="00B421DB" w:rsidP="004C66EC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Office of International Affairs (IO)</w:t>
      </w:r>
    </w:p>
    <w:p w:rsidR="00B273A7" w:rsidRPr="004C66EC" w:rsidRDefault="00D7309C" w:rsidP="00265ADC">
      <w:pPr>
        <w:rPr>
          <w:rFonts w:ascii="Baskerville Old Face" w:hAnsi="Baskerville Old Face"/>
          <w:sz w:val="24"/>
          <w:szCs w:val="24"/>
        </w:rPr>
      </w:pPr>
      <w:r w:rsidRPr="004C66EC">
        <w:rPr>
          <w:rFonts w:ascii="Baskerville Old Face" w:hAnsi="Baskerville Old Face"/>
          <w:sz w:val="24"/>
          <w:szCs w:val="24"/>
        </w:rPr>
        <w:t xml:space="preserve">Write-up </w:t>
      </w:r>
      <w:r w:rsidR="00B273A7" w:rsidRPr="004C66EC">
        <w:rPr>
          <w:rFonts w:ascii="Baskerville Old Face" w:hAnsi="Baskerville Old Face"/>
          <w:sz w:val="24"/>
          <w:szCs w:val="24"/>
        </w:rPr>
        <w:t xml:space="preserve">of the </w:t>
      </w:r>
      <w:r w:rsidR="00684994" w:rsidRPr="004C66EC">
        <w:rPr>
          <w:rFonts w:ascii="Baskerville Old Face" w:hAnsi="Baskerville Old Face"/>
          <w:sz w:val="24"/>
          <w:szCs w:val="24"/>
        </w:rPr>
        <w:t xml:space="preserve">Collaborating </w:t>
      </w:r>
      <w:r w:rsidR="00265ADC">
        <w:rPr>
          <w:rFonts w:ascii="Baskerville Old Face" w:hAnsi="Baskerville Old Face"/>
          <w:sz w:val="24"/>
          <w:szCs w:val="24"/>
        </w:rPr>
        <w:t>Institution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115"/>
        <w:gridCol w:w="4820"/>
      </w:tblGrid>
      <w:tr w:rsidR="00B1124D" w:rsidRPr="00FF6582" w:rsidTr="00B1124D">
        <w:trPr>
          <w:trHeight w:val="602"/>
        </w:trPr>
        <w:tc>
          <w:tcPr>
            <w:tcW w:w="558" w:type="dxa"/>
            <w:vAlign w:val="center"/>
          </w:tcPr>
          <w:p w:rsidR="00B1124D" w:rsidRPr="00FF6582" w:rsidRDefault="00B1124D" w:rsidP="00FF658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No</w:t>
            </w:r>
          </w:p>
        </w:tc>
        <w:tc>
          <w:tcPr>
            <w:tcW w:w="4115" w:type="dxa"/>
            <w:vAlign w:val="center"/>
          </w:tcPr>
          <w:p w:rsidR="00B1124D" w:rsidRPr="00FF6582" w:rsidRDefault="00B1124D" w:rsidP="00814B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Details</w:t>
            </w:r>
          </w:p>
        </w:tc>
        <w:tc>
          <w:tcPr>
            <w:tcW w:w="4820" w:type="dxa"/>
            <w:vAlign w:val="center"/>
          </w:tcPr>
          <w:p w:rsidR="00B1124D" w:rsidRPr="00FF6582" w:rsidRDefault="00B1124D" w:rsidP="00814B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b/>
                <w:sz w:val="24"/>
                <w:szCs w:val="24"/>
              </w:rPr>
              <w:t>Remarks</w:t>
            </w:r>
          </w:p>
        </w:tc>
      </w:tr>
      <w:tr w:rsidR="002076CB" w:rsidRPr="00FF6582" w:rsidTr="00B1124D">
        <w:trPr>
          <w:trHeight w:val="602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sz w:val="24"/>
                <w:szCs w:val="24"/>
              </w:rPr>
              <w:t>Introduction</w:t>
            </w:r>
          </w:p>
          <w:p w:rsidR="002076CB" w:rsidRPr="00FF6582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Sejarah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Nasional Malaysia (UPNM)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bermula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penubuhan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Akademi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 (ATMA) pada 1 Jun 1995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Muda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ketenteraan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Kadet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 (ATM).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ATMA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diperluaskan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menjadikannya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UPNM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diwartakan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pada 10 November 2006.</w:t>
            </w:r>
          </w:p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UPNM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memulakan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kumpulan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pelajarnya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2007/2008,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mengendalikan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Muda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1995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2006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Kementerian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 di mana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seramai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1017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graduan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merangkumi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Kejuruteraan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Disamping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graduan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ditauliahkan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ATM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berkhidmat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pelbagai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Darat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DiRaja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Udara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DiRaja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Malaysia.</w:t>
            </w:r>
          </w:p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UPNM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ditubuhkan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oleh Kerajaan Malaysia pada 21 Jun 2006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mengeluarkan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graduan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perbadanan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UPNM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pada 6 November 2006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memulakan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2007/2008.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2007/2008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seramai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550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melapor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121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350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seramai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297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Kejuruteraan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memulakan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2007/2008 UPNM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menubuhkan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Pusat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Kejuruteraan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CB" w:rsidRPr="00B21B31" w:rsidRDefault="00556C95" w:rsidP="00556C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fakulti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setanding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IPTA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negara. Program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kerana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merangkumi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hands on.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diperolehi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diaplikasi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pesawat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ketenteraan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Tentera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Malaysia (ATM).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diaplikasikan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perindustrian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berteraskan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terkini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6CB" w:rsidRPr="00FF6582" w:rsidTr="00B1124D">
        <w:trPr>
          <w:trHeight w:val="1267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 </w:t>
            </w:r>
          </w:p>
          <w:p w:rsidR="002076CB" w:rsidRPr="00B1124D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 xml:space="preserve">  2</w:t>
            </w: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076CB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overnance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Management Structure</w:t>
            </w:r>
          </w:p>
          <w:p w:rsidR="002076CB" w:rsidRPr="00B21B31" w:rsidRDefault="002076CB" w:rsidP="002076CB">
            <w:pPr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Public, Private or Foundation Funded</w:t>
            </w:r>
          </w:p>
        </w:tc>
      </w:tr>
      <w:tr w:rsidR="002076CB" w:rsidRPr="00FF6582" w:rsidTr="00B1124D">
        <w:trPr>
          <w:trHeight w:val="995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Philosophy, vision and mission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</w:tc>
        <w:tc>
          <w:tcPr>
            <w:tcW w:w="4820" w:type="dxa"/>
            <w:vAlign w:val="center"/>
          </w:tcPr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Falsafah</w:t>
            </w:r>
            <w:proofErr w:type="spellEnd"/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primier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berdedikasi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berintelektual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menyerlah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terpuji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komited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berbakti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sepenuhnya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menjayakan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kelangsungan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strategik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primier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rantau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penciptaan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UPNM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komited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kecemerlangan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primier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kepimpinan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penciptaan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dan juga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polisi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kukuh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seimbang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Kemanusiaan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Pengurusan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menerap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kesarjanaan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bertaraf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antarabangsa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kesetiaan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patriotisme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berbakti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berbekalkan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kemahiran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kecekapan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ketenteraan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Membangunkan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berteraskan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kerohanian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moral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terpuji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menghayati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kepelbagaian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etnik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agama.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Membekalkan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kebolehan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berkomunikasi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kecemerlangan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Diplomasi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, Hal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Ehwal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Ketenteraan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KEWAJIPAN, MARUAH, INTEGRITI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5">
              <w:rPr>
                <w:rFonts w:ascii="Times New Roman" w:hAnsi="Times New Roman" w:cs="Times New Roman"/>
                <w:sz w:val="24"/>
                <w:szCs w:val="24"/>
              </w:rPr>
              <w:t xml:space="preserve">(Duty, </w:t>
            </w:r>
            <w:proofErr w:type="spellStart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556C95">
              <w:rPr>
                <w:rFonts w:ascii="Times New Roman" w:hAnsi="Times New Roman" w:cs="Times New Roman"/>
                <w:sz w:val="24"/>
                <w:szCs w:val="24"/>
              </w:rPr>
              <w:t>, Integrity)</w:t>
            </w:r>
          </w:p>
          <w:p w:rsidR="00556C95" w:rsidRPr="00556C95" w:rsidRDefault="00556C95" w:rsidP="0055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CB" w:rsidRPr="00B21B31" w:rsidRDefault="002076CB" w:rsidP="008F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76CB" w:rsidRPr="00FF6582" w:rsidTr="00B1124D">
        <w:trPr>
          <w:trHeight w:val="1978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FF6582">
              <w:rPr>
                <w:rFonts w:ascii="Baskerville Old Face" w:hAnsi="Baskerville Old Face"/>
                <w:sz w:val="24"/>
                <w:szCs w:val="24"/>
              </w:rPr>
              <w:t xml:space="preserve">Facts &amp; figures of the </w:t>
            </w:r>
            <w:r>
              <w:rPr>
                <w:rFonts w:ascii="Baskerville Old Face" w:hAnsi="Baskerville Old Face"/>
                <w:sz w:val="24"/>
                <w:szCs w:val="24"/>
              </w:rPr>
              <w:t>Institution</w:t>
            </w:r>
          </w:p>
        </w:tc>
        <w:tc>
          <w:tcPr>
            <w:tcW w:w="4820" w:type="dxa"/>
            <w:vAlign w:val="center"/>
          </w:tcPr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>Ranking (world, regional and national)</w:t>
            </w:r>
          </w:p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>Any recognition by governing and professional bodies</w:t>
            </w:r>
          </w:p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 xml:space="preserve">No of Faculty/School/Department </w:t>
            </w:r>
          </w:p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>Current population (students &amp; staff)</w:t>
            </w:r>
          </w:p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 xml:space="preserve">Major publication </w:t>
            </w:r>
          </w:p>
          <w:p w:rsidR="002076CB" w:rsidRPr="0087080D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>Notable researches &amp; researchers</w:t>
            </w:r>
          </w:p>
          <w:p w:rsidR="002076CB" w:rsidRPr="00B21B31" w:rsidRDefault="002076CB" w:rsidP="002E4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D">
              <w:rPr>
                <w:rFonts w:ascii="Times New Roman" w:hAnsi="Times New Roman" w:cs="Times New Roman"/>
                <w:sz w:val="24"/>
                <w:szCs w:val="24"/>
              </w:rPr>
              <w:t>Focus/niche areas</w:t>
            </w: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2076CB" w:rsidRPr="003B0E5E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3B0E5E">
              <w:rPr>
                <w:rFonts w:ascii="Baskerville Old Face" w:hAnsi="Baskerville Old Face"/>
                <w:sz w:val="24"/>
                <w:szCs w:val="24"/>
              </w:rPr>
              <w:t>Areas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of</w:t>
            </w:r>
            <w:r w:rsidRPr="003B0E5E">
              <w:rPr>
                <w:rFonts w:ascii="Baskerville Old Face" w:hAnsi="Baskerville Old Face"/>
                <w:sz w:val="24"/>
                <w:szCs w:val="24"/>
              </w:rPr>
              <w:t xml:space="preserve"> Collaboration </w:t>
            </w:r>
          </w:p>
        </w:tc>
        <w:tc>
          <w:tcPr>
            <w:tcW w:w="4820" w:type="dxa"/>
            <w:vAlign w:val="center"/>
          </w:tcPr>
          <w:p w:rsidR="002076CB" w:rsidRPr="00B21B31" w:rsidRDefault="002076CB" w:rsidP="002076CB">
            <w:pPr>
              <w:pStyle w:val="ListParagraph"/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2076CB" w:rsidRPr="00FF6582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</w:t>
            </w:r>
            <w:r w:rsidRPr="00FF6582">
              <w:rPr>
                <w:rFonts w:ascii="Baskerville Old Face" w:hAnsi="Baskerville Old Face"/>
                <w:sz w:val="24"/>
                <w:szCs w:val="24"/>
              </w:rPr>
              <w:t>ontact details</w:t>
            </w:r>
          </w:p>
        </w:tc>
        <w:tc>
          <w:tcPr>
            <w:tcW w:w="4820" w:type="dxa"/>
            <w:vAlign w:val="center"/>
          </w:tcPr>
          <w:p w:rsidR="002076CB" w:rsidRPr="00B21B31" w:rsidRDefault="00AD4F15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  <w:p w:rsidR="002076CB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FB47E1" w:rsidRPr="00B21B31" w:rsidRDefault="00FB47E1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2076CB" w:rsidRPr="00FF6582" w:rsidTr="00B1124D">
        <w:trPr>
          <w:trHeight w:val="1160"/>
        </w:trPr>
        <w:tc>
          <w:tcPr>
            <w:tcW w:w="558" w:type="dxa"/>
            <w:vAlign w:val="center"/>
          </w:tcPr>
          <w:p w:rsidR="002076CB" w:rsidRPr="00B1124D" w:rsidRDefault="002076CB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1124D"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2076CB" w:rsidRPr="003B0E5E" w:rsidRDefault="002076CB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Contact details (IIUM Champion – Focal person)</w:t>
            </w:r>
          </w:p>
        </w:tc>
        <w:tc>
          <w:tcPr>
            <w:tcW w:w="4820" w:type="dxa"/>
            <w:vAlign w:val="center"/>
          </w:tcPr>
          <w:p w:rsidR="002076CB" w:rsidRPr="00B21B31" w:rsidRDefault="00AD4F15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2076CB" w:rsidRPr="00B21B31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  <w:p w:rsidR="002076CB" w:rsidRDefault="002076CB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FB47E1" w:rsidRPr="00B21B31" w:rsidRDefault="00FB47E1" w:rsidP="002076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8F273D" w:rsidRPr="00FF6582" w:rsidTr="00B1124D">
        <w:trPr>
          <w:trHeight w:val="1160"/>
        </w:trPr>
        <w:tc>
          <w:tcPr>
            <w:tcW w:w="558" w:type="dxa"/>
            <w:vAlign w:val="center"/>
          </w:tcPr>
          <w:p w:rsidR="008F273D" w:rsidRPr="00B1124D" w:rsidRDefault="008F273D" w:rsidP="002076CB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</w:tc>
        <w:tc>
          <w:tcPr>
            <w:tcW w:w="4115" w:type="dxa"/>
            <w:vAlign w:val="center"/>
          </w:tcPr>
          <w:p w:rsidR="008F273D" w:rsidRDefault="008F273D" w:rsidP="002076C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Value/Impact of the Collaboration</w:t>
            </w:r>
          </w:p>
        </w:tc>
        <w:tc>
          <w:tcPr>
            <w:tcW w:w="4820" w:type="dxa"/>
            <w:vAlign w:val="center"/>
          </w:tcPr>
          <w:p w:rsidR="008F273D" w:rsidRPr="00B21B31" w:rsidRDefault="008F273D" w:rsidP="008F273D">
            <w:pPr>
              <w:pStyle w:val="ListParagraph"/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B1F" w:rsidRPr="009A619D" w:rsidRDefault="00775B1F" w:rsidP="00F36DB5">
      <w:pPr>
        <w:rPr>
          <w:rFonts w:ascii="Baskerville Old Face" w:hAnsi="Baskerville Old Face"/>
          <w:sz w:val="24"/>
          <w:szCs w:val="24"/>
        </w:rPr>
      </w:pPr>
    </w:p>
    <w:sectPr w:rsidR="00775B1F" w:rsidRPr="009A619D" w:rsidSect="00471B1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F85"/>
    <w:multiLevelType w:val="hybridMultilevel"/>
    <w:tmpl w:val="CEE4B85E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7FCC"/>
    <w:multiLevelType w:val="hybridMultilevel"/>
    <w:tmpl w:val="024C60C0"/>
    <w:lvl w:ilvl="0" w:tplc="F7F074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C684EAF"/>
    <w:multiLevelType w:val="hybridMultilevel"/>
    <w:tmpl w:val="8D463968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860"/>
    <w:multiLevelType w:val="hybridMultilevel"/>
    <w:tmpl w:val="AB98890A"/>
    <w:lvl w:ilvl="0" w:tplc="1458BD0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382644F8"/>
    <w:multiLevelType w:val="hybridMultilevel"/>
    <w:tmpl w:val="63843124"/>
    <w:lvl w:ilvl="0" w:tplc="9AE4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23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E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42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2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8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E95905"/>
    <w:multiLevelType w:val="hybridMultilevel"/>
    <w:tmpl w:val="B94C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26196"/>
    <w:multiLevelType w:val="hybridMultilevel"/>
    <w:tmpl w:val="7A2096D8"/>
    <w:lvl w:ilvl="0" w:tplc="7F9C0C84">
      <w:start w:val="6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0667"/>
    <w:multiLevelType w:val="hybridMultilevel"/>
    <w:tmpl w:val="9EC468EE"/>
    <w:lvl w:ilvl="0" w:tplc="9AE489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4E4C"/>
    <w:multiLevelType w:val="hybridMultilevel"/>
    <w:tmpl w:val="15C0CC12"/>
    <w:lvl w:ilvl="0" w:tplc="61349384">
      <w:start w:val="1"/>
      <w:numFmt w:val="lowerLetter"/>
      <w:lvlText w:val="(%1)"/>
      <w:lvlJc w:val="left"/>
      <w:pPr>
        <w:ind w:left="1080" w:hanging="36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514D93"/>
    <w:multiLevelType w:val="hybridMultilevel"/>
    <w:tmpl w:val="A81A72AE"/>
    <w:lvl w:ilvl="0" w:tplc="1DAE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2A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2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C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A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A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8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4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9C"/>
    <w:rsid w:val="0003618F"/>
    <w:rsid w:val="0005046D"/>
    <w:rsid w:val="0008609D"/>
    <w:rsid w:val="0008722C"/>
    <w:rsid w:val="001E2B0B"/>
    <w:rsid w:val="002076CB"/>
    <w:rsid w:val="002110A3"/>
    <w:rsid w:val="002150EB"/>
    <w:rsid w:val="00251621"/>
    <w:rsid w:val="00265ADC"/>
    <w:rsid w:val="002E4768"/>
    <w:rsid w:val="002F7713"/>
    <w:rsid w:val="00383BBE"/>
    <w:rsid w:val="003B0E5E"/>
    <w:rsid w:val="0040006A"/>
    <w:rsid w:val="004043D3"/>
    <w:rsid w:val="00446487"/>
    <w:rsid w:val="00471B17"/>
    <w:rsid w:val="00482B85"/>
    <w:rsid w:val="0049294F"/>
    <w:rsid w:val="004C66EC"/>
    <w:rsid w:val="0053040F"/>
    <w:rsid w:val="00533EB9"/>
    <w:rsid w:val="00556C95"/>
    <w:rsid w:val="00583354"/>
    <w:rsid w:val="005C2936"/>
    <w:rsid w:val="005E4CA3"/>
    <w:rsid w:val="0061001A"/>
    <w:rsid w:val="00684994"/>
    <w:rsid w:val="006B7566"/>
    <w:rsid w:val="00714601"/>
    <w:rsid w:val="00775B1F"/>
    <w:rsid w:val="007C7BA5"/>
    <w:rsid w:val="008108CC"/>
    <w:rsid w:val="00814B32"/>
    <w:rsid w:val="00832228"/>
    <w:rsid w:val="00832D40"/>
    <w:rsid w:val="00854844"/>
    <w:rsid w:val="00863F8A"/>
    <w:rsid w:val="0087080D"/>
    <w:rsid w:val="008D52A1"/>
    <w:rsid w:val="008E7BBB"/>
    <w:rsid w:val="008F273D"/>
    <w:rsid w:val="00903F39"/>
    <w:rsid w:val="009326B4"/>
    <w:rsid w:val="0099490C"/>
    <w:rsid w:val="009A2DAE"/>
    <w:rsid w:val="009A619D"/>
    <w:rsid w:val="009B5935"/>
    <w:rsid w:val="009B74B4"/>
    <w:rsid w:val="009C777F"/>
    <w:rsid w:val="009F13B1"/>
    <w:rsid w:val="009F1BCE"/>
    <w:rsid w:val="00A117EB"/>
    <w:rsid w:val="00A22243"/>
    <w:rsid w:val="00A82DC8"/>
    <w:rsid w:val="00A86EFA"/>
    <w:rsid w:val="00AD4F15"/>
    <w:rsid w:val="00AE74C6"/>
    <w:rsid w:val="00AF4517"/>
    <w:rsid w:val="00AF4E20"/>
    <w:rsid w:val="00B102EC"/>
    <w:rsid w:val="00B1124D"/>
    <w:rsid w:val="00B14104"/>
    <w:rsid w:val="00B273A7"/>
    <w:rsid w:val="00B421DB"/>
    <w:rsid w:val="00BD0000"/>
    <w:rsid w:val="00C13C22"/>
    <w:rsid w:val="00D009A4"/>
    <w:rsid w:val="00D04D64"/>
    <w:rsid w:val="00D24F01"/>
    <w:rsid w:val="00D579A0"/>
    <w:rsid w:val="00D7309C"/>
    <w:rsid w:val="00D956F9"/>
    <w:rsid w:val="00DA1E87"/>
    <w:rsid w:val="00DA4AB8"/>
    <w:rsid w:val="00DC0D8B"/>
    <w:rsid w:val="00EB4AA3"/>
    <w:rsid w:val="00F36DB5"/>
    <w:rsid w:val="00F71065"/>
    <w:rsid w:val="00F90A68"/>
    <w:rsid w:val="00FB47E1"/>
    <w:rsid w:val="00FB5CBC"/>
    <w:rsid w:val="00FF3E2A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B5C3935-DFC9-49BD-AC6E-5173FADB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5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6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9A2DA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626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80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63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40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88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18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09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567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42">
          <w:marLeft w:val="116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fazlinashafie</dc:creator>
  <cp:lastModifiedBy>DELL</cp:lastModifiedBy>
  <cp:revision>4</cp:revision>
  <cp:lastPrinted>2016-06-02T03:32:00Z</cp:lastPrinted>
  <dcterms:created xsi:type="dcterms:W3CDTF">2020-09-04T08:57:00Z</dcterms:created>
  <dcterms:modified xsi:type="dcterms:W3CDTF">2022-11-07T09:35:00Z</dcterms:modified>
</cp:coreProperties>
</file>